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64"/>
        <w:ind w:right="158" w:firstLine="0"/>
        <w:jc w:val="righ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Приложение № 2</w:t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10173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2"/>
        <w:gridCol w:w="6521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664"/>
              <w:ind w:firstLine="0"/>
              <w:jc w:val="righ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521" w:type="dxa"/>
            <w:vAlign w:val="top"/>
            <w:textDirection w:val="lrTb"/>
            <w:noWrap w:val="false"/>
          </w:tcPr>
          <w:p>
            <w:pPr>
              <w:pStyle w:val="6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</w:t>
            </w:r>
            <w:r>
              <w:rPr>
                <w:sz w:val="28"/>
                <w:szCs w:val="28"/>
              </w:rPr>
              <w:t xml:space="preserve"> конкурсной документации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60"/>
              <w:jc w:val="right"/>
              <w:rPr>
                <w:sz w:val="28"/>
              </w:rPr>
            </w:pPr>
            <w:r>
              <w:rPr>
                <w:sz w:val="28"/>
                <w:szCs w:val="28"/>
              </w:rPr>
              <w:t xml:space="preserve">к </w:t>
            </w:r>
            <w:r>
              <w:rPr>
                <w:sz w:val="28"/>
                <w:szCs w:val="28"/>
              </w:rPr>
              <w:t xml:space="preserve">открытому </w:t>
            </w:r>
            <w:r>
              <w:rPr>
                <w:sz w:val="28"/>
                <w:szCs w:val="28"/>
              </w:rPr>
              <w:t xml:space="preserve">конкурсу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</w:rPr>
              <w:t xml:space="preserve">на</w:t>
            </w:r>
            <w:r>
              <w:rPr>
                <w:sz w:val="28"/>
              </w:rPr>
              <w:t xml:space="preserve"> право </w:t>
            </w:r>
            <w:r>
              <w:rPr>
                <w:sz w:val="28"/>
              </w:rPr>
            </w:r>
            <w:r>
              <w:rPr>
                <w:sz w:val="28"/>
              </w:rPr>
            </w:r>
          </w:p>
          <w:p>
            <w:pPr>
              <w:pStyle w:val="660"/>
              <w:jc w:val="right"/>
              <w:rPr>
                <w:sz w:val="28"/>
              </w:rPr>
            </w:pPr>
            <w:r>
              <w:rPr>
                <w:sz w:val="28"/>
              </w:rPr>
              <w:t xml:space="preserve">осуществления перевозок по </w:t>
            </w:r>
            <w:r>
              <w:rPr>
                <w:sz w:val="28"/>
              </w:rPr>
            </w:r>
            <w:r>
              <w:rPr>
                <w:sz w:val="28"/>
              </w:rPr>
            </w:r>
          </w:p>
          <w:p>
            <w:pPr>
              <w:pStyle w:val="660"/>
              <w:jc w:val="right"/>
              <w:rPr>
                <w:sz w:val="28"/>
              </w:rPr>
            </w:pPr>
            <w:r>
              <w:rPr>
                <w:sz w:val="28"/>
              </w:rPr>
              <w:t xml:space="preserve">межмуниципальным маршрутам </w:t>
            </w:r>
            <w:r>
              <w:rPr>
                <w:sz w:val="28"/>
              </w:rPr>
            </w:r>
            <w:r>
              <w:rPr>
                <w:sz w:val="28"/>
              </w:rPr>
            </w:r>
          </w:p>
          <w:p>
            <w:pPr>
              <w:pStyle w:val="660"/>
              <w:jc w:val="right"/>
              <w:rPr>
                <w:sz w:val="28"/>
              </w:rPr>
            </w:pPr>
            <w:r>
              <w:rPr>
                <w:sz w:val="28"/>
              </w:rPr>
              <w:t xml:space="preserve">регулярных перевозок по </w:t>
            </w:r>
            <w:r>
              <w:rPr>
                <w:sz w:val="28"/>
              </w:rPr>
            </w:r>
            <w:r>
              <w:rPr>
                <w:sz w:val="28"/>
              </w:rPr>
            </w:r>
          </w:p>
          <w:p>
            <w:pPr>
              <w:pStyle w:val="660"/>
              <w:jc w:val="right"/>
              <w:rPr>
                <w:sz w:val="28"/>
              </w:rPr>
            </w:pPr>
            <w:r>
              <w:rPr>
                <w:sz w:val="28"/>
              </w:rPr>
              <w:t xml:space="preserve">нерегулируемым тарифам </w:t>
            </w:r>
            <w:r>
              <w:rPr>
                <w:sz w:val="28"/>
              </w:rPr>
            </w:r>
            <w:r>
              <w:rPr>
                <w:sz w:val="28"/>
              </w:rPr>
            </w:r>
          </w:p>
          <w:p>
            <w:pPr>
              <w:pStyle w:val="660"/>
              <w:jc w:val="right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в Удмуртской Республике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664"/>
        <w:ind w:firstLine="0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64"/>
        <w:ind w:firstLine="0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64"/>
        <w:ind w:firstLine="0"/>
        <w:jc w:val="center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ЗАЯВКА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64"/>
        <w:ind w:firstLine="0"/>
        <w:jc w:val="center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УЧАСТИЕ В </w:t>
      </w:r>
      <w:r>
        <w:rPr>
          <w:rFonts w:ascii="Times New Roman" w:hAnsi="Times New Roman" w:cs="Times New Roman"/>
          <w:sz w:val="28"/>
          <w:szCs w:val="28"/>
        </w:rPr>
        <w:t xml:space="preserve">ОТКРЫТОМ </w:t>
      </w:r>
      <w:r>
        <w:rPr>
          <w:rFonts w:ascii="Times New Roman" w:hAnsi="Times New Roman" w:cs="Times New Roman"/>
          <w:sz w:val="28"/>
          <w:szCs w:val="28"/>
        </w:rPr>
        <w:t xml:space="preserve">КОНКУРСЕ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65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</w:t>
      </w:r>
      <w:r>
        <w:rPr>
          <w:rFonts w:ascii="Times New Roman" w:hAnsi="Times New Roman" w:cs="Times New Roman"/>
          <w:sz w:val="28"/>
          <w:szCs w:val="28"/>
        </w:rPr>
        <w:t xml:space="preserve">_____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65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(фирменное наименование и организационно-правовая форма</w:t>
      </w:r>
      <w:r>
        <w:rPr>
          <w:rFonts w:ascii="Times New Roman" w:hAnsi="Times New Roman" w:cs="Times New Roman"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65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</w:t>
      </w:r>
      <w:r>
        <w:rPr>
          <w:rFonts w:ascii="Times New Roman" w:hAnsi="Times New Roman" w:cs="Times New Roman"/>
          <w:sz w:val="28"/>
          <w:szCs w:val="28"/>
        </w:rPr>
        <w:t xml:space="preserve">____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65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(место</w:t>
      </w:r>
      <w:r>
        <w:rPr>
          <w:rFonts w:ascii="Times New Roman" w:hAnsi="Times New Roman" w:cs="Times New Roman"/>
          <w:sz w:val="28"/>
          <w:szCs w:val="28"/>
        </w:rPr>
        <w:t xml:space="preserve"> нахождения</w:t>
      </w:r>
      <w:r>
        <w:rPr>
          <w:rFonts w:ascii="Times New Roman" w:hAnsi="Times New Roman" w:cs="Times New Roman"/>
          <w:sz w:val="28"/>
          <w:szCs w:val="28"/>
        </w:rPr>
        <w:t xml:space="preserve"> и почтовый адрес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для юридического лица</w:t>
      </w:r>
      <w:r>
        <w:rPr>
          <w:rFonts w:ascii="Times New Roman" w:hAnsi="Times New Roman" w:cs="Times New Roman"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65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</w:t>
      </w:r>
      <w:r>
        <w:rPr>
          <w:rFonts w:ascii="Times New Roman" w:hAnsi="Times New Roman" w:cs="Times New Roman"/>
          <w:sz w:val="28"/>
          <w:szCs w:val="28"/>
        </w:rPr>
        <w:t xml:space="preserve">____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65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(</w:t>
      </w:r>
      <w:r>
        <w:rPr>
          <w:rFonts w:ascii="Times New Roman" w:hAnsi="Times New Roman" w:cs="Times New Roman"/>
          <w:sz w:val="28"/>
          <w:szCs w:val="28"/>
        </w:rPr>
        <w:t xml:space="preserve">Ф.И.О.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данные</w:t>
      </w:r>
      <w:r>
        <w:rPr>
          <w:rFonts w:ascii="Times New Roman" w:hAnsi="Times New Roman" w:cs="Times New Roman"/>
          <w:sz w:val="28"/>
          <w:szCs w:val="28"/>
        </w:rPr>
        <w:t xml:space="preserve"> паспорта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серия и номер, </w:t>
      </w:r>
      <w:r>
        <w:rPr>
          <w:rFonts w:ascii="Times New Roman" w:hAnsi="Times New Roman" w:cs="Times New Roman"/>
          <w:sz w:val="28"/>
          <w:szCs w:val="28"/>
        </w:rPr>
        <w:t xml:space="preserve">дата выдачи паспорта гражданина РФ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сведения о месте регистрации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 индивидуального </w:t>
      </w:r>
      <w:r>
        <w:rPr>
          <w:rFonts w:ascii="Times New Roman" w:hAnsi="Times New Roman" w:cs="Times New Roman"/>
          <w:sz w:val="28"/>
          <w:szCs w:val="28"/>
        </w:rPr>
        <w:t xml:space="preserve">предпринимателя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 xml:space="preserve">участников договора простого товарищества</w:t>
      </w:r>
      <w:r>
        <w:rPr>
          <w:rFonts w:ascii="Times New Roman" w:hAnsi="Times New Roman" w:cs="Times New Roman"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65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</w:t>
      </w:r>
      <w:r>
        <w:rPr>
          <w:rFonts w:ascii="Times New Roman" w:hAnsi="Times New Roman" w:cs="Times New Roman"/>
          <w:sz w:val="28"/>
          <w:szCs w:val="28"/>
        </w:rPr>
        <w:t xml:space="preserve">____________</w:t>
      </w:r>
      <w:r>
        <w:rPr>
          <w:rFonts w:ascii="Times New Roman" w:hAnsi="Times New Roman" w:cs="Times New Roman"/>
          <w:sz w:val="28"/>
          <w:szCs w:val="28"/>
        </w:rPr>
        <w:t xml:space="preserve">____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65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(</w:t>
      </w:r>
      <w:r>
        <w:rPr>
          <w:rFonts w:ascii="Times New Roman" w:hAnsi="Times New Roman" w:cs="Times New Roman"/>
          <w:sz w:val="28"/>
          <w:szCs w:val="28"/>
        </w:rPr>
        <w:t xml:space="preserve">ИНН, ОГРН</w:t>
      </w:r>
      <w:r>
        <w:rPr>
          <w:rFonts w:ascii="Times New Roman" w:hAnsi="Times New Roman" w:cs="Times New Roman"/>
          <w:sz w:val="28"/>
          <w:szCs w:val="28"/>
        </w:rPr>
        <w:t xml:space="preserve"> (ИП)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КПП, </w:t>
      </w:r>
      <w:r>
        <w:rPr>
          <w:rFonts w:ascii="Times New Roman" w:hAnsi="Times New Roman" w:cs="Times New Roman"/>
          <w:sz w:val="28"/>
          <w:szCs w:val="28"/>
        </w:rPr>
        <w:t xml:space="preserve">номер контактного телефона</w:t>
      </w:r>
      <w:r>
        <w:rPr>
          <w:rFonts w:ascii="Times New Roman" w:hAnsi="Times New Roman" w:cs="Times New Roman"/>
          <w:sz w:val="28"/>
          <w:szCs w:val="28"/>
        </w:rPr>
        <w:t xml:space="preserve">, электронная почта</w:t>
      </w:r>
      <w:r>
        <w:rPr>
          <w:rFonts w:ascii="Times New Roman" w:hAnsi="Times New Roman" w:cs="Times New Roman"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65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65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Предлагает </w:t>
      </w:r>
      <w:r>
        <w:rPr>
          <w:rFonts w:ascii="Times New Roman" w:hAnsi="Times New Roman" w:cs="Times New Roman"/>
          <w:sz w:val="28"/>
          <w:szCs w:val="28"/>
        </w:rPr>
        <w:t xml:space="preserve">обеспечит</w:t>
      </w:r>
      <w:r>
        <w:rPr>
          <w:rFonts w:ascii="Times New Roman" w:hAnsi="Times New Roman" w:cs="Times New Roman"/>
          <w:sz w:val="28"/>
          <w:szCs w:val="28"/>
        </w:rPr>
        <w:t xml:space="preserve">ь 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сущес</w:t>
      </w:r>
      <w:r>
        <w:rPr>
          <w:rFonts w:ascii="Times New Roman" w:hAnsi="Times New Roman" w:cs="Times New Roman"/>
          <w:sz w:val="28"/>
          <w:szCs w:val="28"/>
        </w:rPr>
        <w:t xml:space="preserve">твление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перевозок по </w:t>
      </w:r>
      <w:r>
        <w:rPr>
          <w:rFonts w:ascii="Times New Roman" w:hAnsi="Times New Roman" w:cs="Times New Roman"/>
          <w:sz w:val="28"/>
          <w:szCs w:val="28"/>
        </w:rPr>
        <w:t xml:space="preserve">межмуниципальным маршрутам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регулярных </w:t>
      </w:r>
      <w:r>
        <w:rPr>
          <w:rFonts w:ascii="Times New Roman" w:hAnsi="Times New Roman" w:cs="Times New Roman"/>
          <w:sz w:val="28"/>
          <w:szCs w:val="28"/>
        </w:rPr>
        <w:t xml:space="preserve">перевозок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нерегулируемым тарифам </w:t>
      </w:r>
      <w:r>
        <w:rPr>
          <w:rFonts w:ascii="Times New Roman" w:hAnsi="Times New Roman" w:cs="Times New Roman"/>
          <w:sz w:val="28"/>
          <w:szCs w:val="28"/>
        </w:rPr>
        <w:t xml:space="preserve">в Удмуртской Республике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л</w:t>
      </w:r>
      <w:r>
        <w:rPr>
          <w:rFonts w:ascii="Times New Roman" w:hAnsi="Times New Roman" w:cs="Times New Roman"/>
          <w:sz w:val="28"/>
          <w:szCs w:val="28"/>
        </w:rPr>
        <w:t xml:space="preserve">оту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______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________________________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65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(наименование маршрута)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65"/>
        <w:jc w:val="both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</w:t>
      </w:r>
      <w:r>
        <w:rPr>
          <w:rFonts w:ascii="Times New Roman" w:hAnsi="Times New Roman" w:cs="Times New Roman"/>
          <w:sz w:val="18"/>
          <w:szCs w:val="18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66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6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Предложения участника открытого конкурса</w:t>
      </w:r>
      <w:r>
        <w:rPr>
          <w:b/>
          <w:sz w:val="28"/>
          <w:szCs w:val="28"/>
        </w:rPr>
      </w:r>
    </w:p>
    <w:p>
      <w:pPr>
        <w:pStyle w:val="6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6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</w:t>
      </w:r>
      <w:r>
        <w:t xml:space="preserve"> </w:t>
      </w:r>
      <w:r>
        <w:rPr>
          <w:sz w:val="28"/>
          <w:szCs w:val="28"/>
        </w:rPr>
        <w:t xml:space="preserve">Х</w:t>
      </w:r>
      <w:r>
        <w:rPr>
          <w:sz w:val="28"/>
          <w:szCs w:val="28"/>
        </w:rPr>
        <w:t xml:space="preserve">арактеристики транспортных средств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предлагаемых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юридическим лицом,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</w:p>
    <w:p>
      <w:pPr>
        <w:pStyle w:val="664"/>
        <w:ind w:firstLine="0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10065" w:type="dxa"/>
        <w:tblInd w:w="5" w:type="dxa"/>
        <w:tblLayout w:type="fixed"/>
        <w:tblCellMar>
          <w:left w:w="0" w:type="dxa"/>
          <w:top w:w="75" w:type="dxa"/>
          <w:right w:w="0" w:type="dxa"/>
          <w:bottom w:w="75" w:type="dxa"/>
        </w:tblCellMar>
        <w:tblLook w:val="04A0" w:firstRow="1" w:lastRow="0" w:firstColumn="1" w:lastColumn="0" w:noHBand="0" w:noVBand="1"/>
      </w:tblPr>
      <w:tblGrid>
        <w:gridCol w:w="7655"/>
        <w:gridCol w:w="2410"/>
      </w:tblGrid>
      <w:tr>
        <w:tblPrEx/>
        <w:trPr>
          <w:cantSplit/>
          <w:trHeight w:val="50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5" w:type="dxa"/>
            <w:vAlign w:val="center"/>
            <w:textDirection w:val="lrTb"/>
            <w:noWrap w:val="false"/>
          </w:tcPr>
          <w:p>
            <w:pPr>
              <w:pStyle w:val="664"/>
              <w:ind w:left="142" w:right="142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арактеристики транспортных средств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лияющие на кач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ство перевозок, предлагаемых юридическим лицом, индивидуал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ным предпринимателем или участниками договора простого товарищества для осуществления регулярных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ревозок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410" w:type="dxa"/>
            <w:vAlign w:val="top"/>
            <w:textDirection w:val="lrTb"/>
            <w:noWrap w:val="false"/>
          </w:tcPr>
          <w:p>
            <w:pPr>
              <w:pStyle w:val="6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Государственные регистрационные знаки транспортных средств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5" w:type="dxa"/>
            <w:vAlign w:val="top"/>
            <w:textDirection w:val="lrTb"/>
            <w:noWrap w:val="false"/>
          </w:tcPr>
          <w:p>
            <w:pPr>
              <w:pStyle w:val="6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наличие </w:t>
            </w:r>
            <w:r>
              <w:rPr>
                <w:sz w:val="28"/>
                <w:szCs w:val="28"/>
              </w:rPr>
              <w:t xml:space="preserve">оборудования для перевозок пассажиров из числа инвалидов </w:t>
            </w:r>
            <w:r>
              <w:rPr>
                <w:sz w:val="28"/>
                <w:szCs w:val="28"/>
              </w:rPr>
              <w:t xml:space="preserve">(К</w:t>
            </w:r>
            <w:r>
              <w:rPr>
                <w:sz w:val="28"/>
                <w:szCs w:val="28"/>
                <w:vertAlign w:val="subscript"/>
              </w:rPr>
              <w:t xml:space="preserve">дс</w:t>
            </w:r>
            <w:r>
              <w:rPr>
                <w:sz w:val="28"/>
                <w:szCs w:val="28"/>
              </w:rPr>
              <w:t xml:space="preserve">) 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410" w:type="dxa"/>
            <w:vAlign w:val="top"/>
            <w:textDirection w:val="lrTb"/>
            <w:noWrap w:val="false"/>
          </w:tcPr>
          <w:p>
            <w:pPr>
              <w:pStyle w:val="660"/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5" w:type="dxa"/>
            <w:vAlign w:val="top"/>
            <w:textDirection w:val="lrTb"/>
            <w:noWrap w:val="false"/>
          </w:tcPr>
          <w:p>
            <w:pPr>
              <w:pStyle w:val="6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наличие низкого </w:t>
            </w:r>
            <w:r>
              <w:rPr>
                <w:sz w:val="28"/>
                <w:szCs w:val="28"/>
              </w:rPr>
              <w:t xml:space="preserve">пола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410" w:type="dxa"/>
            <w:vAlign w:val="top"/>
            <w:textDirection w:val="lrTb"/>
            <w:noWrap w:val="false"/>
          </w:tcPr>
          <w:p>
            <w:pPr>
              <w:pStyle w:val="660"/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31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5" w:type="dxa"/>
            <w:vAlign w:val="top"/>
            <w:textDirection w:val="lrTb"/>
            <w:noWrap w:val="false"/>
          </w:tcPr>
          <w:p>
            <w:pPr>
              <w:pStyle w:val="660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наличие оборудования для использования в качестве моторного топлива компримированного (сжатого) природного газа (К</w:t>
            </w:r>
            <w:r>
              <w:rPr>
                <w:sz w:val="28"/>
                <w:szCs w:val="28"/>
                <w:vertAlign w:val="subscript"/>
              </w:rPr>
              <w:t xml:space="preserve">кпг</w:t>
            </w:r>
            <w:r>
              <w:rPr>
                <w:sz w:val="28"/>
                <w:szCs w:val="28"/>
              </w:rPr>
              <w:t xml:space="preserve">)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660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18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5" w:type="dxa"/>
            <w:vAlign w:val="top"/>
            <w:textDirection w:val="lrTb"/>
            <w:noWrap w:val="false"/>
          </w:tcPr>
          <w:p>
            <w:pPr>
              <w:pStyle w:val="660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наличие оборудования для использования в качестве моторного топлива компримированного (сжатого) природного газа и дизельного топлива (комбинирован</w:t>
            </w:r>
            <w:r>
              <w:rPr>
                <w:sz w:val="28"/>
                <w:szCs w:val="28"/>
              </w:rPr>
              <w:t xml:space="preserve">ная система подачи топлива)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410" w:type="dxa"/>
            <w:vAlign w:val="top"/>
            <w:textDirection w:val="lrTb"/>
            <w:noWrap w:val="false"/>
          </w:tcPr>
          <w:p>
            <w:pPr>
              <w:pStyle w:val="660"/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3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5" w:type="dxa"/>
            <w:vAlign w:val="top"/>
            <w:textDirection w:val="lrTb"/>
            <w:noWrap w:val="false"/>
          </w:tcPr>
          <w:p>
            <w:pPr>
              <w:pStyle w:val="660"/>
              <w:spacing w:line="216" w:lineRule="auto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наличие оборудования для использования в качестве моторного топлива сжиж</w:t>
            </w:r>
            <w:r>
              <w:rPr>
                <w:sz w:val="28"/>
                <w:szCs w:val="28"/>
              </w:rPr>
              <w:t xml:space="preserve">енных углеводородных газов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410" w:type="dxa"/>
            <w:vAlign w:val="top"/>
            <w:textDirection w:val="lrTb"/>
            <w:noWrap w:val="false"/>
          </w:tcPr>
          <w:p>
            <w:pPr>
              <w:pStyle w:val="660"/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5" w:type="dxa"/>
            <w:vAlign w:val="top"/>
            <w:textDirection w:val="lrTb"/>
            <w:noWrap w:val="false"/>
          </w:tcPr>
          <w:p>
            <w:pPr>
              <w:pStyle w:val="660"/>
              <w:spacing w:line="216" w:lineRule="auto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экологический класс транспортных средств (К</w:t>
            </w:r>
            <w:r>
              <w:rPr>
                <w:sz w:val="28"/>
                <w:szCs w:val="28"/>
                <w:vertAlign w:val="subscript"/>
              </w:rPr>
              <w:t xml:space="preserve">эк</w:t>
            </w:r>
            <w:r>
              <w:rPr>
                <w:sz w:val="28"/>
                <w:szCs w:val="28"/>
              </w:rPr>
              <w:t xml:space="preserve">):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410" w:type="dxa"/>
            <w:vAlign w:val="top"/>
            <w:textDirection w:val="lrTb"/>
            <w:noWrap w:val="false"/>
          </w:tcPr>
          <w:p>
            <w:pPr>
              <w:pStyle w:val="660"/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5" w:type="dxa"/>
            <w:vAlign w:val="top"/>
            <w:textDirection w:val="lrTb"/>
            <w:noWrap w:val="false"/>
          </w:tcPr>
          <w:p>
            <w:pPr>
              <w:pStyle w:val="660"/>
              <w:spacing w:line="216" w:lineRule="auto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6-й класс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410" w:type="dxa"/>
            <w:vAlign w:val="top"/>
            <w:textDirection w:val="lrTb"/>
            <w:noWrap w:val="false"/>
          </w:tcPr>
          <w:p>
            <w:pPr>
              <w:pStyle w:val="660"/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5" w:type="dxa"/>
            <w:vAlign w:val="top"/>
            <w:textDirection w:val="lrTb"/>
            <w:noWrap w:val="false"/>
          </w:tcPr>
          <w:p>
            <w:pPr>
              <w:pStyle w:val="660"/>
              <w:spacing w:line="216" w:lineRule="auto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5-й класс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410" w:type="dxa"/>
            <w:vAlign w:val="top"/>
            <w:textDirection w:val="lrTb"/>
            <w:noWrap w:val="false"/>
          </w:tcPr>
          <w:p>
            <w:pPr>
              <w:pStyle w:val="660"/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89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65" w:type="dxa"/>
            <w:vAlign w:val="top"/>
            <w:textDirection w:val="lrTb"/>
            <w:noWrap w:val="false"/>
          </w:tcPr>
          <w:p>
            <w:pPr>
              <w:pStyle w:val="660"/>
              <w:spacing w:line="216" w:lineRule="auto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4-й класс 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5" w:type="dxa"/>
            <w:vAlign w:val="top"/>
            <w:textDirection w:val="lrTb"/>
            <w:noWrap w:val="false"/>
          </w:tcPr>
          <w:p>
            <w:pPr>
              <w:pStyle w:val="660"/>
              <w:spacing w:line="216" w:lineRule="auto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3-й класс 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410" w:type="dxa"/>
            <w:vAlign w:val="top"/>
            <w:textDirection w:val="lrTb"/>
            <w:noWrap w:val="false"/>
          </w:tcPr>
          <w:p>
            <w:pPr>
              <w:pStyle w:val="660"/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9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5" w:type="dxa"/>
            <w:vAlign w:val="top"/>
            <w:textDirection w:val="lrTb"/>
            <w:noWrap w:val="false"/>
          </w:tcPr>
          <w:p>
            <w:pPr>
              <w:pStyle w:val="660"/>
              <w:spacing w:line="216" w:lineRule="auto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2-й класс и ниже, или не установлен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410" w:type="dxa"/>
            <w:vAlign w:val="top"/>
            <w:textDirection w:val="lrTb"/>
            <w:noWrap w:val="false"/>
          </w:tcPr>
          <w:p>
            <w:pPr>
              <w:pStyle w:val="660"/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38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5" w:type="dxa"/>
            <w:vAlign w:val="top"/>
            <w:textDirection w:val="lrTb"/>
            <w:noWrap w:val="false"/>
          </w:tcPr>
          <w:p>
            <w:pPr>
              <w:pStyle w:val="660"/>
              <w:spacing w:line="216" w:lineRule="auto"/>
              <w:widowControl w:val="off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дополнительное оборудование (∑К</w:t>
            </w:r>
            <w:r>
              <w:rPr>
                <w:sz w:val="28"/>
                <w:szCs w:val="28"/>
                <w:vertAlign w:val="subscript"/>
              </w:rPr>
              <w:t xml:space="preserve">до</w:t>
            </w:r>
            <w:r>
              <w:rPr>
                <w:sz w:val="28"/>
                <w:szCs w:val="28"/>
              </w:rPr>
              <w:t xml:space="preserve">)</w:t>
            </w:r>
            <w:r>
              <w:rPr>
                <w:sz w:val="28"/>
                <w:szCs w:val="28"/>
                <w:lang w:val="en-US"/>
              </w:rPr>
              <w:t xml:space="preserve">:</w:t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410" w:type="dxa"/>
            <w:vAlign w:val="top"/>
            <w:textDirection w:val="lrTb"/>
            <w:noWrap w:val="false"/>
          </w:tcPr>
          <w:p>
            <w:pPr>
              <w:pStyle w:val="660"/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4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5" w:type="dxa"/>
            <w:vAlign w:val="top"/>
            <w:textDirection w:val="lrTb"/>
            <w:noWrap w:val="false"/>
          </w:tcPr>
          <w:p>
            <w:pPr>
              <w:pStyle w:val="660"/>
              <w:spacing w:line="216" w:lineRule="auto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наличие кондиционера в салоне транспортного средства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410" w:type="dxa"/>
            <w:vAlign w:val="top"/>
            <w:textDirection w:val="lrTb"/>
            <w:noWrap w:val="false"/>
          </w:tcPr>
          <w:p>
            <w:pPr>
              <w:pStyle w:val="660"/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4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5" w:type="dxa"/>
            <w:vAlign w:val="top"/>
            <w:textDirection w:val="lrTb"/>
            <w:noWrap w:val="false"/>
          </w:tcPr>
          <w:p>
            <w:pPr>
              <w:pStyle w:val="660"/>
              <w:spacing w:line="216" w:lineRule="auto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наличие автономного отопителя в салоне транспортного средства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410" w:type="dxa"/>
            <w:vAlign w:val="top"/>
            <w:textDirection w:val="lrTb"/>
            <w:noWrap w:val="false"/>
          </w:tcPr>
          <w:p>
            <w:pPr>
              <w:pStyle w:val="660"/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4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5" w:type="dxa"/>
            <w:vAlign w:val="top"/>
            <w:textDirection w:val="lrTb"/>
            <w:noWrap w:val="false"/>
          </w:tcPr>
          <w:p>
            <w:pPr>
              <w:pStyle w:val="660"/>
              <w:spacing w:line="216" w:lineRule="auto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наличие системы контроля температуры воздуха (климат-контроль) в салоне транспортного средства 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410" w:type="dxa"/>
            <w:vAlign w:val="top"/>
            <w:textDirection w:val="lrTb"/>
            <w:noWrap w:val="false"/>
          </w:tcPr>
          <w:p>
            <w:pPr>
              <w:pStyle w:val="660"/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4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5" w:type="dxa"/>
            <w:vAlign w:val="top"/>
            <w:textDirection w:val="lrTb"/>
            <w:noWrap w:val="false"/>
          </w:tcPr>
          <w:p>
            <w:pPr>
              <w:pStyle w:val="660"/>
              <w:spacing w:line="216" w:lineRule="auto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наличие в салоне транспортного средства оборудования, осуществляющего непрерывную аудио- и видеофиксацию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410" w:type="dxa"/>
            <w:vAlign w:val="top"/>
            <w:textDirection w:val="lrTb"/>
            <w:noWrap w:val="false"/>
          </w:tcPr>
          <w:p>
            <w:pPr>
              <w:pStyle w:val="660"/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4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5" w:type="dxa"/>
            <w:vAlign w:val="top"/>
            <w:textDirection w:val="lrTb"/>
            <w:noWrap w:val="false"/>
          </w:tcPr>
          <w:p>
            <w:pPr>
              <w:pStyle w:val="660"/>
              <w:spacing w:line="216" w:lineRule="auto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наличие багажного отделения в транспортном средстве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410" w:type="dxa"/>
            <w:vAlign w:val="top"/>
            <w:textDirection w:val="lrTb"/>
            <w:noWrap w:val="false"/>
          </w:tcPr>
          <w:p>
            <w:pPr>
              <w:pStyle w:val="660"/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4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5" w:type="dxa"/>
            <w:vAlign w:val="top"/>
            <w:textDirection w:val="lrTb"/>
            <w:noWrap w:val="false"/>
          </w:tcPr>
          <w:p>
            <w:pPr>
              <w:pStyle w:val="660"/>
              <w:spacing w:line="216" w:lineRule="auto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наличие электронного информационного табло в транспортном средстве  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410" w:type="dxa"/>
            <w:vAlign w:val="top"/>
            <w:textDirection w:val="lrTb"/>
            <w:noWrap w:val="false"/>
          </w:tcPr>
          <w:p>
            <w:pPr>
              <w:pStyle w:val="660"/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4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5" w:type="dxa"/>
            <w:vAlign w:val="top"/>
            <w:textDirection w:val="lrTb"/>
            <w:noWrap w:val="false"/>
          </w:tcPr>
          <w:p>
            <w:pPr>
              <w:pStyle w:val="660"/>
              <w:spacing w:line="216" w:lineRule="auto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наличие системы безналичной оплаты проезда </w:t>
            </w:r>
            <w:r>
              <w:rPr>
                <w:sz w:val="28"/>
                <w:szCs w:val="28"/>
              </w:rPr>
            </w:r>
          </w:p>
          <w:p>
            <w:pPr>
              <w:pStyle w:val="660"/>
              <w:spacing w:line="216" w:lineRule="auto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транспортном средстве  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410" w:type="dxa"/>
            <w:vAlign w:val="top"/>
            <w:textDirection w:val="lrTb"/>
            <w:noWrap w:val="false"/>
          </w:tcPr>
          <w:p>
            <w:pPr>
              <w:pStyle w:val="660"/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4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5" w:type="dxa"/>
            <w:vAlign w:val="top"/>
            <w:textDirection w:val="lrTb"/>
            <w:noWrap w:val="false"/>
          </w:tcPr>
          <w:p>
            <w:pPr>
              <w:pStyle w:val="660"/>
              <w:spacing w:line="216" w:lineRule="auto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наличие подвижного состава, соответствующего характеристикам транспортных средств, указанных в заявке на участие в открытом конкурсе (К</w:t>
            </w:r>
            <w:r>
              <w:rPr>
                <w:sz w:val="28"/>
                <w:szCs w:val="28"/>
                <w:vertAlign w:val="subscript"/>
              </w:rPr>
              <w:t xml:space="preserve">нпс</w:t>
            </w:r>
            <w:r>
              <w:rPr>
                <w:sz w:val="28"/>
                <w:szCs w:val="28"/>
              </w:rPr>
              <w:t xml:space="preserve">):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410" w:type="dxa"/>
            <w:vAlign w:val="top"/>
            <w:textDirection w:val="lrTb"/>
            <w:noWrap w:val="false"/>
          </w:tcPr>
          <w:p>
            <w:pPr>
              <w:pStyle w:val="660"/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4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5" w:type="dxa"/>
            <w:vAlign w:val="top"/>
            <w:textDirection w:val="lrTb"/>
            <w:noWrap w:val="false"/>
          </w:tcPr>
          <w:p>
            <w:pPr>
              <w:pStyle w:val="660"/>
              <w:spacing w:line="216" w:lineRule="auto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собственности, в лизинге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410" w:type="dxa"/>
            <w:vAlign w:val="top"/>
            <w:textDirection w:val="lrTb"/>
            <w:noWrap w:val="false"/>
          </w:tcPr>
          <w:p>
            <w:pPr>
              <w:pStyle w:val="660"/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4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5" w:type="dxa"/>
            <w:vAlign w:val="top"/>
            <w:textDirection w:val="lrTb"/>
            <w:noWrap w:val="false"/>
          </w:tcPr>
          <w:p>
            <w:pPr>
              <w:pStyle w:val="660"/>
              <w:spacing w:line="216" w:lineRule="auto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ином законном основании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410" w:type="dxa"/>
            <w:vAlign w:val="top"/>
            <w:textDirection w:val="lrTb"/>
            <w:noWrap w:val="false"/>
          </w:tcPr>
          <w:p>
            <w:pPr>
              <w:pStyle w:val="660"/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4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5" w:type="dxa"/>
            <w:vAlign w:val="top"/>
            <w:textDirection w:val="lrTb"/>
            <w:noWrap w:val="false"/>
          </w:tcPr>
          <w:p>
            <w:pPr>
              <w:pStyle w:val="660"/>
              <w:spacing w:line="216" w:lineRule="auto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наличие документов, подтверждающих обязательства по приобретению и (или) поставке транспортного средства, соответствующего характеристикам, указанных в заявке на участие в открытом конкурсе, в срок, установленный в конкурсной документации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410" w:type="dxa"/>
            <w:vAlign w:val="top"/>
            <w:textDirection w:val="lrTb"/>
            <w:noWrap w:val="false"/>
          </w:tcPr>
          <w:p>
            <w:pPr>
              <w:pStyle w:val="660"/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664"/>
        <w:ind w:firstLine="0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64"/>
        <w:ind w:firstLine="0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64"/>
        <w:ind w:firstLine="0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10065" w:type="dxa"/>
        <w:tblInd w:w="5" w:type="dxa"/>
        <w:tblLayout w:type="fixed"/>
        <w:tblCellMar>
          <w:left w:w="0" w:type="dxa"/>
          <w:top w:w="75" w:type="dxa"/>
          <w:right w:w="0" w:type="dxa"/>
          <w:bottom w:w="75" w:type="dxa"/>
        </w:tblCellMar>
        <w:tblLook w:val="04A0" w:firstRow="1" w:lastRow="0" w:firstColumn="1" w:lastColumn="0" w:noHBand="0" w:noVBand="1"/>
      </w:tblPr>
      <w:tblGrid>
        <w:gridCol w:w="7655"/>
        <w:gridCol w:w="2410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5" w:type="dxa"/>
            <w:vAlign w:val="center"/>
            <w:textDirection w:val="lrTb"/>
            <w:noWrap w:val="false"/>
          </w:tcPr>
          <w:p>
            <w:pPr>
              <w:pStyle w:val="664"/>
              <w:ind w:left="142" w:right="8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Максимальный срок эксплуатации транспортных средств, предлагаемых юридическим лицом, индивидуальным предприним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телем или участниками договора простого товарищества для осуществления регулярных перевозок в течение срока 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ствия свидетельства об осуществлении перевозок по маршруту рег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лярных перевозок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664"/>
              <w:ind w:left="142" w:right="8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(определяется от даты регистрации транспортного средства до даты окончания действия свидетельства об осуществлении перевозок по маршруту регулярных перевозок)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664"/>
              <w:ind w:left="141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Государственные регистрационные знаки транспортных средств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5" w:type="dxa"/>
            <w:vAlign w:val="center"/>
            <w:textDirection w:val="lrTb"/>
            <w:noWrap w:val="false"/>
          </w:tcPr>
          <w:p>
            <w:pPr>
              <w:pStyle w:val="660"/>
              <w:ind w:left="142" w:right="82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7 лет включительно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660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5" w:type="dxa"/>
            <w:vAlign w:val="center"/>
            <w:textDirection w:val="lrTb"/>
            <w:noWrap w:val="false"/>
          </w:tcPr>
          <w:p>
            <w:pPr>
              <w:pStyle w:val="660"/>
              <w:ind w:left="142" w:right="82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более 7 лет до 9 лет включительно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660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5" w:type="dxa"/>
            <w:vAlign w:val="center"/>
            <w:textDirection w:val="lrTb"/>
            <w:noWrap w:val="false"/>
          </w:tcPr>
          <w:p>
            <w:pPr>
              <w:pStyle w:val="660"/>
              <w:ind w:left="142" w:right="82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более 9 лет до 11 лет включительно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660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5" w:type="dxa"/>
            <w:vAlign w:val="center"/>
            <w:textDirection w:val="lrTb"/>
            <w:noWrap w:val="false"/>
          </w:tcPr>
          <w:p>
            <w:pPr>
              <w:pStyle w:val="660"/>
              <w:ind w:left="142" w:right="82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более 11 лет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660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664"/>
        <w:ind w:firstLine="0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64"/>
        <w:ind w:firstLine="0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</w:t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10065" w:type="dxa"/>
        <w:tblInd w:w="5" w:type="dxa"/>
        <w:tblLayout w:type="fixed"/>
        <w:tblCellMar>
          <w:left w:w="0" w:type="dxa"/>
          <w:top w:w="75" w:type="dxa"/>
          <w:right w:w="0" w:type="dxa"/>
          <w:bottom w:w="75" w:type="dxa"/>
        </w:tblCellMar>
        <w:tblLook w:val="04A0" w:firstRow="1" w:lastRow="0" w:firstColumn="1" w:lastColumn="0" w:noHBand="0" w:noVBand="1"/>
      </w:tblPr>
      <w:tblGrid>
        <w:gridCol w:w="7655"/>
        <w:gridCol w:w="2410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5" w:type="dxa"/>
            <w:vAlign w:val="center"/>
            <w:textDirection w:val="lrTb"/>
            <w:noWrap w:val="false"/>
          </w:tcPr>
          <w:p>
            <w:pPr>
              <w:pStyle w:val="664"/>
              <w:ind w:left="142" w:right="8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Дополнительные сведения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средства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предлагаемых юридическим лицом, индивидуальным предприним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телем или участниками договора простого товарищества для осуществления регулярных перевозок в течение срока 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ствия свидетельства об осуществлении перевозок по маршруту рег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лярных перевозок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664"/>
              <w:ind w:left="141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Государственные регистрационные знаки транспортных средств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5" w:type="dxa"/>
            <w:vAlign w:val="center"/>
            <w:textDirection w:val="lrTb"/>
            <w:noWrap w:val="false"/>
          </w:tcPr>
          <w:p>
            <w:pPr>
              <w:pStyle w:val="660"/>
              <w:ind w:left="142" w:right="82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Наличие тахографа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660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5" w:type="dxa"/>
            <w:vAlign w:val="center"/>
            <w:textDirection w:val="lrTb"/>
            <w:noWrap w:val="false"/>
          </w:tcPr>
          <w:p>
            <w:pPr>
              <w:pStyle w:val="660"/>
              <w:ind w:left="142" w:right="82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Класс т</w:t>
            </w:r>
            <w:r>
              <w:rPr>
                <w:sz w:val="28"/>
                <w:szCs w:val="28"/>
              </w:rPr>
              <w:t xml:space="preserve">ранспортных средств в соответствии с пунктом 14 статьи 3 Федерального закона от 13 июля 2015 г. №</w:t>
            </w:r>
            <w:r>
              <w:rPr>
                <w:sz w:val="28"/>
                <w:szCs w:val="28"/>
              </w:rPr>
              <w:t xml:space="preserve"> 220-ФЗ</w:t>
            </w:r>
            <w:r>
              <w:rPr>
                <w:sz w:val="28"/>
                <w:szCs w:val="28"/>
              </w:rPr>
              <w:t xml:space="preserve"> (указать </w:t>
            </w:r>
            <w:r>
              <w:rPr>
                <w:sz w:val="28"/>
                <w:szCs w:val="28"/>
              </w:rPr>
              <w:t xml:space="preserve">г</w:t>
            </w:r>
            <w:r>
              <w:rPr>
                <w:sz w:val="28"/>
                <w:szCs w:val="28"/>
              </w:rPr>
              <w:t xml:space="preserve">осударственные регистрационные знаки транспортных средств</w:t>
            </w:r>
            <w:r>
              <w:rPr>
                <w:sz w:val="28"/>
                <w:szCs w:val="28"/>
              </w:rPr>
              <w:t xml:space="preserve"> и соответственно их классы</w:t>
            </w:r>
            <w:r>
              <w:rPr>
                <w:sz w:val="28"/>
                <w:szCs w:val="28"/>
              </w:rPr>
              <w:t xml:space="preserve">)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660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664"/>
        <w:ind w:firstLine="0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64"/>
        <w:ind w:firstLine="708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Уровень а</w:t>
      </w:r>
      <w:r>
        <w:rPr>
          <w:rFonts w:ascii="Times New Roman" w:hAnsi="Times New Roman" w:cs="Times New Roman"/>
          <w:sz w:val="28"/>
          <w:szCs w:val="28"/>
        </w:rPr>
        <w:t xml:space="preserve">варийности </w:t>
      </w:r>
      <w:r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 xml:space="preserve">последние 12 месяцев</w:t>
      </w:r>
      <w:r>
        <w:rPr>
          <w:rFonts w:ascii="Times New Roman" w:hAnsi="Times New Roman" w:cs="Times New Roman"/>
          <w:sz w:val="28"/>
          <w:szCs w:val="28"/>
        </w:rPr>
        <w:t xml:space="preserve">, предшествующих дате проведения открытого конкурса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10065" w:type="dxa"/>
        <w:tblInd w:w="70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7655"/>
        <w:gridCol w:w="2410"/>
      </w:tblGrid>
      <w:tr>
        <w:tblPrEx/>
        <w:trPr>
          <w:cantSplit/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55" w:type="dxa"/>
            <w:vAlign w:val="top"/>
            <w:textDirection w:val="lrTb"/>
            <w:noWrap w:val="false"/>
          </w:tcPr>
          <w:p>
            <w:pPr>
              <w:pStyle w:val="660"/>
              <w:ind w:left="142" w:right="82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дорожно-транспортных происшествий, п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влекших за собой человеческие жертвы или причинение вреда здоровью граждан и произошедших по вине юридического лица, индив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дуального предпринимателя, участников договора простого товарищества или их работников в течение года, предшествующ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го дате проведения открытого конкурса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664"/>
              <w:ind w:firstLine="0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cantSplit/>
          <w:trHeight w:val="3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55" w:type="dxa"/>
            <w:vAlign w:val="top"/>
            <w:textDirection w:val="lrTb"/>
            <w:noWrap w:val="false"/>
          </w:tcPr>
          <w:p>
            <w:pPr>
              <w:pStyle w:val="660"/>
              <w:ind w:left="142" w:right="82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Среднее количество транспортных средств, предусмотренных договорами обязательного страхования гражданской </w:t>
            </w:r>
            <w:r>
              <w:rPr>
                <w:sz w:val="28"/>
                <w:szCs w:val="28"/>
              </w:rPr>
              <w:t xml:space="preserve">ответственности за причинение вреда жизни, здоровью, имуществу пассажиров</w:t>
            </w:r>
            <w:r>
              <w:rPr>
                <w:sz w:val="28"/>
                <w:szCs w:val="28"/>
              </w:rPr>
              <w:t xml:space="preserve">, действовавшими в течение года, предшествующего дате размещения извещения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664"/>
              <w:ind w:firstLine="0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cantSplit/>
          <w:trHeight w:val="3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55" w:type="dxa"/>
            <w:vAlign w:val="top"/>
            <w:textDirection w:val="lrTb"/>
            <w:noWrap w:val="false"/>
          </w:tcPr>
          <w:p>
            <w:pPr>
              <w:pStyle w:val="660"/>
              <w:ind w:left="142" w:right="82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Государственные регистрационные знаки транспортных средств, предусмотренных договорами обязательного страхования гражданской ответственности</w:t>
            </w:r>
            <w:r>
              <w:rPr>
                <w:sz w:val="28"/>
                <w:szCs w:val="28"/>
              </w:rPr>
              <w:t xml:space="preserve"> за причинение вреда жизни, здоровью, имуществу пассажиров</w:t>
            </w:r>
            <w:r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действовавшими в течение года, предшествующего дате размещения извещения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664"/>
              <w:ind w:firstLine="0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pStyle w:val="664"/>
        <w:ind w:firstLine="0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10065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0" w:type="dxa"/>
          <w:top w:w="75" w:type="dxa"/>
          <w:right w:w="0" w:type="dxa"/>
          <w:bottom w:w="75" w:type="dxa"/>
        </w:tblCellMar>
        <w:tblLook w:val="04A0" w:firstRow="1" w:lastRow="0" w:firstColumn="1" w:lastColumn="0" w:noHBand="0" w:noVBand="1"/>
      </w:tblPr>
      <w:tblGrid>
        <w:gridCol w:w="7655"/>
        <w:gridCol w:w="241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179"/>
        </w:trPr>
        <w:tc>
          <w:tcPr>
            <w:gridSpan w:val="2"/>
            <w:tcW w:w="10065" w:type="dxa"/>
            <w:vAlign w:val="center"/>
            <w:textDirection w:val="lrTb"/>
            <w:noWrap w:val="false"/>
          </w:tcPr>
          <w:p>
            <w:pPr>
              <w:pStyle w:val="660"/>
              <w:ind w:left="142" w:right="82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3. 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пыт осуществления регулярных перевозок юридическим лицом, индивидуальным предпринимателем или участниками договора простого товарищества, кот</w:t>
            </w:r>
            <w:r>
              <w:rPr>
                <w:sz w:val="28"/>
                <w:szCs w:val="28"/>
              </w:rPr>
              <w:t xml:space="preserve">орый подтвержден сведениями об исполненных государственных или муниципальных контрактах либо нотариально заверенными копиями свидетельств об осуществлении перевозок по маршруту регулярных перевозок, заключенных с органами исполнительной власти субъектов Ро</w:t>
            </w:r>
            <w:r>
              <w:rPr>
                <w:sz w:val="28"/>
                <w:szCs w:val="28"/>
              </w:rPr>
              <w:t xml:space="preserve">ссийской Федерации или органами местного самоуправления договоров, предусматривающих осуществление перевозок по маршрутам регулярных перевозок, или иных документов, предусмотренных нормативными правовыми актами субъектов Российской Федерации, муниципальным</w:t>
            </w:r>
            <w:r>
              <w:rPr>
                <w:sz w:val="28"/>
                <w:szCs w:val="28"/>
              </w:rPr>
              <w:t xml:space="preserve">и нормативными правовыми актами </w:t>
            </w:r>
            <w:r>
              <w:rPr>
                <w:sz w:val="28"/>
                <w:szCs w:val="28"/>
              </w:rPr>
              <w:t xml:space="preserve">(</w:t>
            </w:r>
            <w:r>
              <w:rPr>
                <w:sz w:val="28"/>
                <w:szCs w:val="28"/>
              </w:rPr>
              <w:t xml:space="preserve">указать данные об опыте в </w:t>
            </w:r>
            <w:r>
              <w:rPr>
                <w:sz w:val="28"/>
                <w:szCs w:val="28"/>
              </w:rPr>
              <w:t xml:space="preserve">соответствующей</w:t>
            </w:r>
            <w:r>
              <w:rPr>
                <w:sz w:val="28"/>
                <w:szCs w:val="28"/>
              </w:rPr>
              <w:t xml:space="preserve"> строке</w:t>
            </w:r>
            <w:r>
              <w:rPr>
                <w:sz w:val="28"/>
                <w:szCs w:val="28"/>
              </w:rPr>
              <w:t xml:space="preserve">)</w:t>
            </w:r>
            <w:r>
              <w:rPr>
                <w:sz w:val="28"/>
                <w:szCs w:val="28"/>
              </w:rPr>
              <w:t xml:space="preserve">: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5"/>
        </w:trPr>
        <w:tc>
          <w:tcPr>
            <w:gridSpan w:val="2"/>
            <w:tcW w:w="10065" w:type="dxa"/>
            <w:vAlign w:val="center"/>
            <w:textDirection w:val="lrTb"/>
            <w:noWrap w:val="false"/>
          </w:tcPr>
          <w:p>
            <w:pPr>
              <w:pStyle w:val="660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Сведение об опыте</w:t>
            </w:r>
            <w:r>
              <w:rPr>
                <w:sz w:val="28"/>
                <w:szCs w:val="28"/>
              </w:rPr>
              <w:t xml:space="preserve"> осуществления регулярных перевозок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5"/>
        </w:trPr>
        <w:tc>
          <w:tcPr>
            <w:tcW w:w="7655" w:type="dxa"/>
            <w:vAlign w:val="center"/>
            <w:textDirection w:val="lrTb"/>
            <w:noWrap w:val="false"/>
          </w:tcPr>
          <w:p>
            <w:pPr>
              <w:pStyle w:val="660"/>
              <w:ind w:firstLine="137"/>
              <w:widowControl w:val="off"/>
              <w:rPr>
                <w:sz w:val="28"/>
                <w:szCs w:val="28"/>
              </w:rPr>
              <w:outlineLvl w:val="2"/>
            </w:pPr>
            <w:r>
              <w:rPr>
                <w:sz w:val="28"/>
                <w:szCs w:val="28"/>
              </w:rPr>
              <w:t xml:space="preserve">опыт отсутствует</w:t>
            </w:r>
            <w:r>
              <w:rPr>
                <w:sz w:val="28"/>
                <w:szCs w:val="28"/>
              </w:rPr>
            </w:r>
          </w:p>
        </w:tc>
        <w:tc>
          <w:tcPr>
            <w:tcMar>
              <w:left w:w="62" w:type="dxa"/>
              <w:top w:w="102" w:type="dxa"/>
              <w:right w:w="62" w:type="dxa"/>
              <w:bottom w:w="102" w:type="dxa"/>
            </w:tcMar>
            <w:tcW w:w="2410" w:type="dxa"/>
            <w:vAlign w:val="center"/>
            <w:textDirection w:val="lrTb"/>
            <w:noWrap w:val="false"/>
          </w:tcPr>
          <w:p>
            <w:pPr>
              <w:pStyle w:val="660"/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5"/>
        </w:trPr>
        <w:tc>
          <w:tcPr>
            <w:tcW w:w="7655" w:type="dxa"/>
            <w:vAlign w:val="center"/>
            <w:textDirection w:val="lrTb"/>
            <w:noWrap w:val="false"/>
          </w:tcPr>
          <w:p>
            <w:pPr>
              <w:pStyle w:val="660"/>
              <w:ind w:firstLine="137"/>
              <w:widowControl w:val="off"/>
              <w:rPr>
                <w:sz w:val="28"/>
                <w:szCs w:val="28"/>
              </w:rPr>
              <w:outlineLvl w:val="2"/>
            </w:pPr>
            <w:r>
              <w:rPr>
                <w:sz w:val="28"/>
                <w:szCs w:val="28"/>
              </w:rPr>
              <w:t xml:space="preserve">до </w:t>
            </w:r>
            <w:r>
              <w:rPr>
                <w:sz w:val="28"/>
                <w:szCs w:val="28"/>
              </w:rPr>
              <w:t xml:space="preserve">2-х лет </w:t>
            </w:r>
            <w:r>
              <w:rPr>
                <w:sz w:val="28"/>
                <w:szCs w:val="28"/>
              </w:rPr>
              <w:t xml:space="preserve">включительн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Mar>
              <w:left w:w="62" w:type="dxa"/>
              <w:top w:w="102" w:type="dxa"/>
              <w:right w:w="62" w:type="dxa"/>
              <w:bottom w:w="102" w:type="dxa"/>
            </w:tcMar>
            <w:tcW w:w="2410" w:type="dxa"/>
            <w:vAlign w:val="center"/>
            <w:textDirection w:val="lrTb"/>
            <w:noWrap w:val="false"/>
          </w:tcPr>
          <w:p>
            <w:pPr>
              <w:pStyle w:val="660"/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5"/>
        </w:trPr>
        <w:tc>
          <w:tcPr>
            <w:tcW w:w="7655" w:type="dxa"/>
            <w:vAlign w:val="center"/>
            <w:textDirection w:val="lrTb"/>
            <w:noWrap w:val="false"/>
          </w:tcPr>
          <w:p>
            <w:pPr>
              <w:pStyle w:val="660"/>
              <w:ind w:firstLine="137"/>
              <w:widowControl w:val="off"/>
              <w:rPr>
                <w:sz w:val="28"/>
                <w:szCs w:val="28"/>
              </w:rPr>
              <w:outlineLvl w:val="2"/>
            </w:pPr>
            <w:r>
              <w:rPr>
                <w:sz w:val="28"/>
                <w:szCs w:val="28"/>
              </w:rPr>
              <w:t xml:space="preserve">более 2 лет до 5 лет включительно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Mar>
              <w:left w:w="62" w:type="dxa"/>
              <w:top w:w="102" w:type="dxa"/>
              <w:right w:w="62" w:type="dxa"/>
              <w:bottom w:w="102" w:type="dxa"/>
            </w:tcMar>
            <w:tcW w:w="2410" w:type="dxa"/>
            <w:vAlign w:val="center"/>
            <w:textDirection w:val="lrTb"/>
            <w:noWrap w:val="false"/>
          </w:tcPr>
          <w:p>
            <w:pPr>
              <w:pStyle w:val="660"/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5"/>
        </w:trPr>
        <w:tc>
          <w:tcPr>
            <w:tcW w:w="7655" w:type="dxa"/>
            <w:vAlign w:val="center"/>
            <w:textDirection w:val="lrTb"/>
            <w:noWrap w:val="false"/>
          </w:tcPr>
          <w:p>
            <w:pPr>
              <w:pStyle w:val="660"/>
              <w:ind w:firstLine="137"/>
              <w:widowControl w:val="off"/>
              <w:rPr>
                <w:sz w:val="28"/>
                <w:szCs w:val="28"/>
              </w:rPr>
              <w:outlineLvl w:val="2"/>
            </w:pPr>
            <w:r>
              <w:rPr>
                <w:sz w:val="28"/>
                <w:szCs w:val="28"/>
              </w:rPr>
              <w:t xml:space="preserve">более 5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лет до 8 лет включительно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Mar>
              <w:left w:w="62" w:type="dxa"/>
              <w:top w:w="102" w:type="dxa"/>
              <w:right w:w="62" w:type="dxa"/>
              <w:bottom w:w="102" w:type="dxa"/>
            </w:tcMar>
            <w:tcW w:w="2410" w:type="dxa"/>
            <w:vAlign w:val="center"/>
            <w:textDirection w:val="lrTb"/>
            <w:noWrap w:val="false"/>
          </w:tcPr>
          <w:p>
            <w:pPr>
              <w:pStyle w:val="660"/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5"/>
        </w:trPr>
        <w:tc>
          <w:tcPr>
            <w:tcW w:w="7655" w:type="dxa"/>
            <w:vAlign w:val="center"/>
            <w:textDirection w:val="lrTb"/>
            <w:noWrap w:val="false"/>
          </w:tcPr>
          <w:p>
            <w:pPr>
              <w:pStyle w:val="660"/>
              <w:ind w:firstLine="137"/>
              <w:widowControl w:val="off"/>
              <w:rPr>
                <w:sz w:val="28"/>
                <w:szCs w:val="28"/>
              </w:rPr>
              <w:outlineLvl w:val="2"/>
            </w:pPr>
            <w:r>
              <w:rPr>
                <w:sz w:val="28"/>
                <w:szCs w:val="28"/>
              </w:rPr>
              <w:t xml:space="preserve">более 8</w:t>
            </w:r>
            <w:r>
              <w:rPr>
                <w:sz w:val="28"/>
                <w:szCs w:val="28"/>
              </w:rPr>
              <w:t xml:space="preserve"> лет</w:t>
            </w:r>
            <w:r>
              <w:rPr>
                <w:sz w:val="28"/>
                <w:szCs w:val="28"/>
              </w:rPr>
            </w:r>
          </w:p>
        </w:tc>
        <w:tc>
          <w:tcPr>
            <w:tcMar>
              <w:left w:w="62" w:type="dxa"/>
              <w:top w:w="102" w:type="dxa"/>
              <w:right w:w="62" w:type="dxa"/>
              <w:bottom w:w="102" w:type="dxa"/>
            </w:tcMar>
            <w:tcW w:w="2410" w:type="dxa"/>
            <w:vAlign w:val="center"/>
            <w:textDirection w:val="lrTb"/>
            <w:noWrap w:val="false"/>
          </w:tcPr>
          <w:p>
            <w:pPr>
              <w:pStyle w:val="660"/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664"/>
        <w:ind w:firstLine="540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Изучив конкурсную документацию, а также применимые к данному открытому конкурсу законодательство и нормативно-правовые акты___________________________________________________________________</w:t>
      </w:r>
      <w:r>
        <w:rPr>
          <w:sz w:val="28"/>
          <w:szCs w:val="28"/>
        </w:rPr>
      </w:r>
    </w:p>
    <w:p>
      <w:pPr>
        <w:pStyle w:val="660"/>
        <w:ind w:firstLine="56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(наименование Участника открытого конкурса)</w:t>
      </w:r>
      <w:r>
        <w:rPr>
          <w:i/>
          <w:iCs/>
          <w:sz w:val="16"/>
          <w:szCs w:val="16"/>
        </w:rPr>
      </w:r>
    </w:p>
    <w:p>
      <w:pPr>
        <w:pStyle w:val="6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лице,__________________________________________________________________ </w:t>
      </w:r>
      <w:r>
        <w:rPr>
          <w:sz w:val="28"/>
          <w:szCs w:val="28"/>
        </w:rPr>
      </w:r>
    </w:p>
    <w:p>
      <w:pPr>
        <w:pStyle w:val="660"/>
        <w:ind w:firstLine="567"/>
        <w:jc w:val="center"/>
        <w:rPr>
          <w:i/>
          <w:iCs/>
          <w:sz w:val="16"/>
          <w:szCs w:val="16"/>
        </w:rPr>
      </w:pPr>
      <w:r>
        <w:rPr>
          <w:sz w:val="16"/>
          <w:szCs w:val="16"/>
        </w:rPr>
        <w:t xml:space="preserve">(</w:t>
      </w:r>
      <w:r>
        <w:rPr>
          <w:i/>
          <w:iCs/>
          <w:sz w:val="16"/>
          <w:szCs w:val="16"/>
        </w:rPr>
        <w:t xml:space="preserve">наименование должности руководителя и его Ф.И.О.)</w:t>
      </w:r>
      <w:r>
        <w:rPr>
          <w:i/>
          <w:iCs/>
          <w:sz w:val="16"/>
          <w:szCs w:val="16"/>
        </w:rPr>
      </w:r>
    </w:p>
    <w:p>
      <w:pPr>
        <w:pStyle w:val="6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сообщает о согласии участвовать в открытом конкурсе на условиях, установленных в указанных выше документах, и направляет настоящую Заявку.</w:t>
      </w:r>
      <w:r>
        <w:rPr>
          <w:sz w:val="28"/>
          <w:szCs w:val="28"/>
        </w:rPr>
      </w:r>
    </w:p>
    <w:p>
      <w:pPr>
        <w:pStyle w:val="6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Если наши условия транспортного обслуживания будут признаны лучшими, мы берем на себя обязательство осуществлять перевозки пассажиров по межмуниципальным маршрутам регулярных перевозок, проходящих по</w:t>
      </w:r>
      <w:r>
        <w:rPr>
          <w:sz w:val="28"/>
          <w:szCs w:val="28"/>
        </w:rPr>
        <w:t xml:space="preserve"> территории Удмуртской Республики</w:t>
      </w:r>
      <w:r>
        <w:rPr>
          <w:sz w:val="28"/>
          <w:szCs w:val="28"/>
        </w:rPr>
        <w:t xml:space="preserve"> в соответствии с требованиями К</w:t>
      </w:r>
      <w:r>
        <w:rPr>
          <w:sz w:val="28"/>
          <w:szCs w:val="28"/>
        </w:rPr>
        <w:t xml:space="preserve">онкурсной документации и реестром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межмуниципальных маршрутов регулярных перевозок на</w:t>
      </w:r>
      <w:r>
        <w:rPr>
          <w:bCs/>
          <w:sz w:val="28"/>
          <w:szCs w:val="28"/>
        </w:rPr>
        <w:t xml:space="preserve"> территории Удмуртской Республики</w:t>
      </w:r>
      <w:r>
        <w:rPr>
          <w:sz w:val="28"/>
          <w:szCs w:val="28"/>
        </w:rPr>
        <w:t xml:space="preserve">, на условиях, ко</w:t>
      </w:r>
      <w:r>
        <w:rPr>
          <w:sz w:val="28"/>
          <w:szCs w:val="28"/>
        </w:rPr>
        <w:t xml:space="preserve">торые мы представили в настоящей Конкурсной заявке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</w:p>
    <w:p>
      <w:pPr>
        <w:pStyle w:val="6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Конкурсная заявка</w:t>
      </w:r>
      <w:r>
        <w:rPr>
          <w:sz w:val="28"/>
          <w:szCs w:val="28"/>
        </w:rPr>
        <w:t xml:space="preserve"> содержит приложения, предусмотренные описью документов, составленной по форме, установленной Конкурсной документацией.</w:t>
      </w:r>
      <w:r>
        <w:rPr>
          <w:sz w:val="28"/>
          <w:szCs w:val="28"/>
        </w:rPr>
      </w:r>
    </w:p>
    <w:p>
      <w:pPr>
        <w:pStyle w:val="6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Настоящим гарантируем достоверность представленной нами в Заявке информации и подтверждаем право </w:t>
      </w:r>
      <w:r>
        <w:rPr>
          <w:sz w:val="28"/>
          <w:szCs w:val="28"/>
        </w:rPr>
        <w:t xml:space="preserve">Министерства транспорта и дорожного хозяйства Удмуртской Республики </w:t>
      </w:r>
      <w:r>
        <w:rPr>
          <w:sz w:val="28"/>
          <w:szCs w:val="28"/>
        </w:rPr>
        <w:t xml:space="preserve">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r>
        <w:rPr>
          <w:sz w:val="28"/>
          <w:szCs w:val="28"/>
        </w:rPr>
      </w:r>
    </w:p>
    <w:p>
      <w:pPr>
        <w:pStyle w:val="675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Настоящим декларируем свое соответствие требованиям, предусмотренным законодательством в сфере организации регулярных перевозок пассажиров и багажа автомобильным транспортом.</w:t>
      </w:r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pStyle w:val="6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Настоящим подтверждаем достоверность сделанных заявлений и предоставленных сведений.</w:t>
      </w:r>
      <w:r>
        <w:rPr>
          <w:sz w:val="28"/>
          <w:szCs w:val="28"/>
        </w:rPr>
      </w:r>
    </w:p>
    <w:p>
      <w:pPr>
        <w:pStyle w:val="6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Сообщаем, что для оперативного уведомления нас по вопросам организационного характера и взаимодействия с</w:t>
      </w:r>
      <w:r>
        <w:rPr>
          <w:sz w:val="28"/>
          <w:szCs w:val="28"/>
        </w:rPr>
        <w:t xml:space="preserve"> Министерством транспорта и дорожного хозяйства Удмуртской Республики, </w:t>
      </w:r>
      <w:r>
        <w:rPr>
          <w:sz w:val="28"/>
          <w:szCs w:val="28"/>
        </w:rPr>
        <w:t xml:space="preserve">нами уполномочен____________________________________________________.</w:t>
      </w:r>
      <w:r>
        <w:rPr>
          <w:sz w:val="28"/>
          <w:szCs w:val="28"/>
        </w:rPr>
      </w:r>
    </w:p>
    <w:p>
      <w:pPr>
        <w:pStyle w:val="660"/>
        <w:ind w:firstLine="567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(Ф.И.О., телефон работника Участника открытого конкурса)</w:t>
      </w:r>
      <w:r>
        <w:rPr>
          <w:i/>
          <w:sz w:val="16"/>
          <w:szCs w:val="16"/>
        </w:rPr>
      </w:r>
    </w:p>
    <w:p>
      <w:pPr>
        <w:pStyle w:val="6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 сведения о проведении открытого конкурса просим сообщать уполномоченному лицу.</w:t>
      </w:r>
      <w:r>
        <w:rPr>
          <w:sz w:val="28"/>
          <w:szCs w:val="28"/>
        </w:rPr>
      </w:r>
    </w:p>
    <w:p>
      <w:pPr>
        <w:pStyle w:val="6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Настоящая Заявка действует до завершения процедуры проведения открытого конкурса.</w:t>
      </w:r>
      <w:r>
        <w:rPr>
          <w:sz w:val="28"/>
          <w:szCs w:val="28"/>
        </w:rPr>
      </w:r>
    </w:p>
    <w:p>
      <w:pPr>
        <w:pStyle w:val="66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К настоящей Заявке прилагаются документы согласно описи на _____стр.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6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6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Руководитель/</w:t>
      </w:r>
      <w:r>
        <w:rPr>
          <w:sz w:val="28"/>
          <w:szCs w:val="28"/>
        </w:rPr>
      </w:r>
    </w:p>
    <w:p>
      <w:pPr>
        <w:pStyle w:val="66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уполномоченное лицо </w:t>
      </w:r>
      <w:r>
        <w:rPr>
          <w:sz w:val="28"/>
          <w:szCs w:val="28"/>
        </w:rPr>
      </w:r>
    </w:p>
    <w:p>
      <w:pPr>
        <w:pStyle w:val="66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у</w:t>
      </w:r>
      <w:r>
        <w:rPr>
          <w:sz w:val="28"/>
          <w:szCs w:val="28"/>
        </w:rPr>
        <w:t xml:space="preserve">частника открытого конкурса ________</w:t>
      </w:r>
      <w:r>
        <w:rPr>
          <w:sz w:val="28"/>
          <w:szCs w:val="28"/>
        </w:rPr>
        <w:t xml:space="preserve">____________ ( ________________</w:t>
      </w:r>
      <w:r>
        <w:rPr>
          <w:sz w:val="28"/>
          <w:szCs w:val="28"/>
        </w:rPr>
        <w:t xml:space="preserve">__ )</w:t>
      </w:r>
      <w:r>
        <w:rPr>
          <w:sz w:val="28"/>
          <w:szCs w:val="28"/>
        </w:rPr>
      </w:r>
    </w:p>
    <w:p>
      <w:pPr>
        <w:pStyle w:val="660"/>
        <w:ind w:firstLine="567"/>
        <w:rPr>
          <w:i/>
          <w:sz w:val="16"/>
          <w:szCs w:val="16"/>
          <w:vertAlign w:val="superscript"/>
        </w:rPr>
      </w:pPr>
      <w:r>
        <w:rPr>
          <w:i/>
          <w:sz w:val="28"/>
          <w:szCs w:val="28"/>
          <w:vertAlign w:val="superscript"/>
        </w:rPr>
        <w:t xml:space="preserve">                      </w:t>
        <w:tab/>
        <w:tab/>
        <w:tab/>
        <w:tab/>
        <w:tab/>
        <w:tab/>
        <w:tab/>
      </w:r>
      <w:r>
        <w:rPr>
          <w:i/>
          <w:sz w:val="16"/>
          <w:szCs w:val="16"/>
          <w:vertAlign w:val="superscript"/>
        </w:rPr>
        <w:t xml:space="preserve">  (Ф.И.О.)</w:t>
      </w:r>
      <w:r>
        <w:rPr>
          <w:i/>
          <w:sz w:val="16"/>
          <w:szCs w:val="16"/>
          <w:vertAlign w:val="superscript"/>
        </w:rPr>
      </w:r>
    </w:p>
    <w:p>
      <w:pPr>
        <w:pStyle w:val="66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            </w:t>
        <w:tab/>
        <w:tab/>
        <w:tab/>
        <w:tab/>
        <w:tab/>
        <w:t xml:space="preserve">М.П.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60"/>
        <w:ind w:firstLine="567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60"/>
        <w:ind w:firstLine="567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60"/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«___» ____________ 202</w:t>
      </w:r>
      <w:r>
        <w:rPr>
          <w:sz w:val="28"/>
          <w:szCs w:val="28"/>
        </w:rPr>
        <w:t xml:space="preserve">5 г.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719" w:right="566" w:bottom="142" w:left="1259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Times New Roman">
    <w:panose1 w:val="02020603050405020304"/>
  </w:font>
  <w:font w:name="Symbol">
    <w:panose1 w:val="05010000000000000000"/>
  </w:font>
  <w:font w:name="Tahoma">
    <w:panose1 w:val="020B0606030504020204"/>
  </w:font>
  <w:font w:name="Courier New">
    <w:panose1 w:val="020704090202050204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69"/>
      <w:rPr>
        <w:rStyle w:val="670"/>
      </w:rPr>
      <w:framePr w:wrap="around" w:vAnchor="text" w:hAnchor="margin" w:xAlign="center" w:y="1"/>
    </w:pPr>
    <w:r>
      <w:rPr>
        <w:rStyle w:val="670"/>
      </w:rPr>
      <w:fldChar w:fldCharType="begin"/>
    </w:r>
    <w:r>
      <w:rPr>
        <w:rStyle w:val="670"/>
      </w:rPr>
      <w:instrText xml:space="preserve">PAGE  </w:instrText>
    </w:r>
    <w:r>
      <w:rPr>
        <w:rStyle w:val="670"/>
      </w:rPr>
      <w:fldChar w:fldCharType="separate"/>
    </w:r>
    <w:r>
      <w:rPr>
        <w:rStyle w:val="670"/>
      </w:rPr>
      <w:t xml:space="preserve">2</w:t>
    </w:r>
    <w:r>
      <w:rPr>
        <w:rStyle w:val="670"/>
      </w:rPr>
      <w:fldChar w:fldCharType="end"/>
    </w:r>
    <w:r>
      <w:rPr>
        <w:rStyle w:val="670"/>
      </w:rPr>
    </w:r>
    <w:r>
      <w:rPr>
        <w:rStyle w:val="670"/>
      </w:rPr>
    </w:r>
  </w:p>
  <w:p>
    <w:pPr>
      <w:pStyle w:val="66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69"/>
      <w:rPr>
        <w:rStyle w:val="670"/>
      </w:rPr>
      <w:framePr w:wrap="around" w:vAnchor="text" w:hAnchor="margin" w:xAlign="center" w:y="1"/>
    </w:pPr>
    <w:r>
      <w:rPr>
        <w:rStyle w:val="670"/>
      </w:rPr>
      <w:fldChar w:fldCharType="begin"/>
    </w:r>
    <w:r>
      <w:rPr>
        <w:rStyle w:val="670"/>
      </w:rPr>
      <w:instrText xml:space="preserve">PAGE  </w:instrText>
    </w:r>
    <w:r>
      <w:rPr>
        <w:rStyle w:val="670"/>
      </w:rPr>
      <w:fldChar w:fldCharType="end"/>
    </w:r>
    <w:r>
      <w:rPr>
        <w:rStyle w:val="670"/>
      </w:rPr>
    </w:r>
    <w:r>
      <w:rPr>
        <w:rStyle w:val="670"/>
      </w:rPr>
    </w:r>
  </w:p>
  <w:p>
    <w:pPr>
      <w:pStyle w:val="66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2"/>
      <w:numFmt w:val="bullet"/>
      <w:isLgl w:val="false"/>
      <w:suff w:val="tab"/>
      <w:lvlText w:val=""/>
      <w:lvlJc w:val="left"/>
      <w:pPr>
        <w:ind w:left="2250" w:hanging="360"/>
      </w:pPr>
      <w:rPr>
        <w:rFonts w:ascii="Symbol" w:hAnsi="Symbol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97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69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41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13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85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57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29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010" w:hanging="360"/>
      </w:pPr>
      <w:rPr>
        <w:rFonts w:ascii="Wingdings" w:hAnsi="Wingdings"/>
      </w:rPr>
    </w:lvl>
  </w:abstractNum>
  <w:abstractNum w:abstractNumId="1">
    <w:multiLevelType w:val="hybridMultilevel"/>
    <w:lvl w:ilvl="0">
      <w:start w:val="12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0"/>
      <w:numFmt w:val="bullet"/>
      <w:isLgl w:val="false"/>
      <w:suff w:val="tab"/>
      <w:lvlText w:val="-"/>
      <w:lvlJc w:val="left"/>
      <w:pPr>
        <w:ind w:left="720" w:hanging="360"/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multiLevelType w:val="hybridMultilevel"/>
    <w:lvl w:ilvl="0">
      <w:start w:val="12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60"/>
    <w:next w:val="660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60"/>
    <w:next w:val="660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60"/>
    <w:next w:val="660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60"/>
    <w:next w:val="660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60"/>
    <w:next w:val="660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60"/>
    <w:next w:val="660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60"/>
    <w:next w:val="660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60"/>
    <w:next w:val="660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60"/>
    <w:next w:val="660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60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60"/>
    <w:next w:val="660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60"/>
    <w:next w:val="660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60"/>
    <w:next w:val="660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60"/>
    <w:next w:val="660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60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60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60"/>
    <w:next w:val="66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60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60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60"/>
    <w:next w:val="660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60"/>
    <w:next w:val="660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60"/>
    <w:next w:val="660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60"/>
    <w:next w:val="660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60"/>
    <w:next w:val="660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60"/>
    <w:next w:val="660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60"/>
    <w:next w:val="660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60"/>
    <w:next w:val="660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60"/>
    <w:next w:val="660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60"/>
    <w:next w:val="660"/>
    <w:uiPriority w:val="99"/>
    <w:unhideWhenUsed/>
    <w:pPr>
      <w:spacing w:after="0" w:afterAutospacing="0"/>
    </w:pPr>
  </w:style>
  <w:style w:type="paragraph" w:styleId="660" w:default="1">
    <w:name w:val="Normal"/>
    <w:next w:val="660"/>
    <w:link w:val="660"/>
    <w:qFormat/>
    <w:rPr>
      <w:lang w:val="ru-RU" w:eastAsia="ru-RU" w:bidi="ar-SA"/>
    </w:rPr>
  </w:style>
  <w:style w:type="character" w:styleId="661">
    <w:name w:val="Основной шрифт абзаца"/>
    <w:next w:val="661"/>
    <w:link w:val="660"/>
    <w:semiHidden/>
  </w:style>
  <w:style w:type="table" w:styleId="662">
    <w:name w:val="Обычная таблица"/>
    <w:next w:val="662"/>
    <w:link w:val="660"/>
    <w:semiHidden/>
    <w:tblPr/>
  </w:style>
  <w:style w:type="numbering" w:styleId="663">
    <w:name w:val="Нет списка"/>
    <w:next w:val="663"/>
    <w:link w:val="660"/>
    <w:semiHidden/>
  </w:style>
  <w:style w:type="paragraph" w:styleId="664">
    <w:name w:val="ConsPlusNormal"/>
    <w:next w:val="664"/>
    <w:link w:val="660"/>
    <w:pPr>
      <w:ind w:firstLine="720"/>
      <w:widowControl w:val="off"/>
    </w:pPr>
    <w:rPr>
      <w:rFonts w:ascii="Arial" w:hAnsi="Arial" w:cs="Arial"/>
      <w:lang w:val="ru-RU" w:eastAsia="ru-RU" w:bidi="ar-SA"/>
    </w:rPr>
  </w:style>
  <w:style w:type="paragraph" w:styleId="665">
    <w:name w:val="ConsPlusNonformat"/>
    <w:next w:val="665"/>
    <w:link w:val="660"/>
    <w:pPr>
      <w:widowControl w:val="off"/>
    </w:pPr>
    <w:rPr>
      <w:rFonts w:ascii="Courier New" w:hAnsi="Courier New" w:cs="Courier New"/>
      <w:lang w:val="ru-RU" w:eastAsia="ru-RU" w:bidi="ar-SA"/>
    </w:rPr>
  </w:style>
  <w:style w:type="paragraph" w:styleId="666">
    <w:name w:val="caaieiaie 1"/>
    <w:basedOn w:val="660"/>
    <w:next w:val="660"/>
    <w:link w:val="660"/>
    <w:pPr>
      <w:jc w:val="center"/>
      <w:keepNext/>
      <w:widowControl w:val="off"/>
    </w:pPr>
    <w:rPr>
      <w:b/>
      <w:sz w:val="28"/>
      <w:u w:val="single"/>
    </w:rPr>
  </w:style>
  <w:style w:type="paragraph" w:styleId="667">
    <w:name w:val="caaieiaie 2"/>
    <w:basedOn w:val="660"/>
    <w:next w:val="660"/>
    <w:link w:val="660"/>
    <w:pPr>
      <w:jc w:val="both"/>
      <w:keepNext/>
    </w:pPr>
    <w:rPr>
      <w:sz w:val="28"/>
    </w:rPr>
  </w:style>
  <w:style w:type="paragraph" w:styleId="668">
    <w:name w:val="Нижний колонтитул"/>
    <w:basedOn w:val="660"/>
    <w:next w:val="668"/>
    <w:link w:val="673"/>
    <w:uiPriority w:val="99"/>
    <w:pPr>
      <w:tabs>
        <w:tab w:val="center" w:pos="4677" w:leader="none"/>
        <w:tab w:val="right" w:pos="9355" w:leader="none"/>
      </w:tabs>
    </w:pPr>
    <w:rPr>
      <w:sz w:val="24"/>
    </w:rPr>
  </w:style>
  <w:style w:type="paragraph" w:styleId="669">
    <w:name w:val="Верхний колонтитул"/>
    <w:basedOn w:val="660"/>
    <w:next w:val="669"/>
    <w:link w:val="674"/>
    <w:uiPriority w:val="99"/>
    <w:pPr>
      <w:tabs>
        <w:tab w:val="center" w:pos="4677" w:leader="none"/>
        <w:tab w:val="right" w:pos="9355" w:leader="none"/>
      </w:tabs>
    </w:pPr>
  </w:style>
  <w:style w:type="character" w:styleId="670">
    <w:name w:val="Номер страницы"/>
    <w:basedOn w:val="661"/>
    <w:next w:val="670"/>
    <w:link w:val="660"/>
  </w:style>
  <w:style w:type="paragraph" w:styleId="671">
    <w:name w:val="Текст выноски"/>
    <w:basedOn w:val="660"/>
    <w:next w:val="671"/>
    <w:link w:val="660"/>
    <w:semiHidden/>
    <w:rPr>
      <w:rFonts w:ascii="Tahoma" w:hAnsi="Tahoma" w:cs="Tahoma"/>
      <w:sz w:val="16"/>
      <w:szCs w:val="16"/>
    </w:rPr>
  </w:style>
  <w:style w:type="table" w:styleId="672">
    <w:name w:val="Сетка таблицы"/>
    <w:basedOn w:val="662"/>
    <w:next w:val="672"/>
    <w:link w:val="660"/>
    <w:uiPriority w:val="59"/>
    <w:tblPr/>
  </w:style>
  <w:style w:type="character" w:styleId="673">
    <w:name w:val="Нижний колонтитул Знак"/>
    <w:next w:val="673"/>
    <w:link w:val="668"/>
    <w:uiPriority w:val="99"/>
    <w:rPr>
      <w:sz w:val="24"/>
    </w:rPr>
  </w:style>
  <w:style w:type="character" w:styleId="674">
    <w:name w:val="Верхний колонтитул Знак"/>
    <w:next w:val="674"/>
    <w:link w:val="669"/>
    <w:uiPriority w:val="99"/>
  </w:style>
  <w:style w:type="paragraph" w:styleId="675">
    <w:name w:val="ConsPlusTitle"/>
    <w:next w:val="675"/>
    <w:link w:val="660"/>
    <w:pPr>
      <w:widowControl w:val="off"/>
    </w:pPr>
    <w:rPr>
      <w:rFonts w:ascii="Arial" w:hAnsi="Arial" w:cs="Arial"/>
      <w:b/>
      <w:lang w:val="ru-RU" w:eastAsia="ru-RU" w:bidi="ar-SA"/>
    </w:rPr>
  </w:style>
  <w:style w:type="character" w:styleId="2058" w:default="1">
    <w:name w:val="Default Paragraph Font"/>
    <w:uiPriority w:val="1"/>
    <w:semiHidden/>
    <w:unhideWhenUsed/>
  </w:style>
  <w:style w:type="numbering" w:styleId="2059" w:default="1">
    <w:name w:val="No List"/>
    <w:uiPriority w:val="99"/>
    <w:semiHidden/>
    <w:unhideWhenUsed/>
  </w:style>
  <w:style w:type="table" w:styleId="206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Министерство транспорта, связи и автодорог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</dc:title>
  <dc:creator>NikolskiySN</dc:creator>
  <cp:revision>3</cp:revision>
  <dcterms:created xsi:type="dcterms:W3CDTF">2024-02-26T10:48:00Z</dcterms:created>
  <dcterms:modified xsi:type="dcterms:W3CDTF">2025-03-06T09:18:51Z</dcterms:modified>
  <cp:version>983040</cp:version>
</cp:coreProperties>
</file>